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158" w:rsidRDefault="00CC1158" w:rsidP="004D6E53">
      <w:pPr>
        <w:spacing w:line="240" w:lineRule="auto"/>
        <w:contextualSpacing/>
        <w:jc w:val="center"/>
        <w:rPr>
          <w:rFonts w:ascii="Palatino Linotype" w:hAnsi="Palatino Linotype"/>
        </w:rPr>
      </w:pPr>
    </w:p>
    <w:p w:rsidR="0054612F" w:rsidRDefault="004D6E53" w:rsidP="004D6E53">
      <w:pPr>
        <w:spacing w:line="240" w:lineRule="auto"/>
        <w:contextualSpacing/>
        <w:jc w:val="center"/>
        <w:rPr>
          <w:rFonts w:ascii="Palatino Linotype" w:hAnsi="Palatino Linotype"/>
        </w:rPr>
      </w:pPr>
      <w:r>
        <w:rPr>
          <w:rFonts w:ascii="Palatino Linotype" w:hAnsi="Palatino Linotype"/>
        </w:rPr>
        <w:t>WPU Vacancy Announcement/Job Description</w:t>
      </w:r>
    </w:p>
    <w:p w:rsidR="004D6E53" w:rsidRDefault="004D6E53" w:rsidP="004D6E53">
      <w:pPr>
        <w:spacing w:line="240" w:lineRule="auto"/>
        <w:contextualSpacing/>
        <w:jc w:val="center"/>
        <w:rPr>
          <w:rFonts w:ascii="Palatino Linotype" w:hAnsi="Palatino Linotype"/>
        </w:rPr>
      </w:pPr>
    </w:p>
    <w:p w:rsidR="004D6E53" w:rsidRPr="00376752" w:rsidRDefault="004D6E53" w:rsidP="004D6E53">
      <w:pPr>
        <w:spacing w:line="240" w:lineRule="auto"/>
        <w:contextualSpacing/>
        <w:rPr>
          <w:rFonts w:ascii="Palatino Linotype" w:hAnsi="Palatino Linotype"/>
        </w:rPr>
      </w:pPr>
      <w:r w:rsidRPr="004D6E53">
        <w:rPr>
          <w:rFonts w:ascii="Palatino Linotype" w:hAnsi="Palatino Linotype"/>
          <w:b/>
        </w:rPr>
        <w:t>Date:</w:t>
      </w:r>
      <w:r w:rsidR="00376752">
        <w:rPr>
          <w:rFonts w:ascii="Palatino Linotype" w:hAnsi="Palatino Linotype"/>
          <w:b/>
        </w:rPr>
        <w:tab/>
      </w:r>
      <w:r w:rsidR="00470E4A">
        <w:rPr>
          <w:rFonts w:ascii="Palatino Linotype" w:hAnsi="Palatino Linotype"/>
        </w:rPr>
        <w:t>January 17, 2020</w:t>
      </w:r>
    </w:p>
    <w:p w:rsidR="004D6E53" w:rsidRDefault="004D6E53" w:rsidP="004D6E53">
      <w:pPr>
        <w:spacing w:line="240" w:lineRule="auto"/>
        <w:contextualSpacing/>
        <w:rPr>
          <w:rFonts w:ascii="Palatino Linotype" w:hAnsi="Palatino Linotype"/>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Position Title:</w:t>
      </w:r>
      <w:r>
        <w:rPr>
          <w:rFonts w:ascii="Palatino Linotype" w:hAnsi="Palatino Linotype"/>
          <w:b/>
        </w:rPr>
        <w:tab/>
      </w:r>
      <w:r w:rsidR="00376752" w:rsidRPr="00770B8E">
        <w:rPr>
          <w:rFonts w:ascii="Arial" w:eastAsia="Times New Roman" w:hAnsi="Arial" w:cs="Arial"/>
          <w:color w:val="002D62"/>
          <w:spacing w:val="11"/>
          <w:sz w:val="23"/>
          <w:szCs w:val="23"/>
        </w:rPr>
        <w:t>P</w:t>
      </w:r>
      <w:r w:rsidR="00376752">
        <w:rPr>
          <w:rFonts w:ascii="Arial" w:eastAsia="Times New Roman" w:hAnsi="Arial" w:cs="Arial"/>
          <w:color w:val="002D62"/>
          <w:spacing w:val="11"/>
          <w:sz w:val="23"/>
          <w:szCs w:val="23"/>
        </w:rPr>
        <w:t xml:space="preserve">enn </w:t>
      </w:r>
      <w:r w:rsidR="00376752" w:rsidRPr="00770B8E">
        <w:rPr>
          <w:rFonts w:ascii="Arial" w:eastAsia="Times New Roman" w:hAnsi="Arial" w:cs="Arial"/>
          <w:color w:val="002D62"/>
          <w:spacing w:val="11"/>
          <w:sz w:val="23"/>
          <w:szCs w:val="23"/>
        </w:rPr>
        <w:t>A</w:t>
      </w:r>
      <w:r w:rsidR="00376752">
        <w:rPr>
          <w:rFonts w:ascii="Arial" w:eastAsia="Times New Roman" w:hAnsi="Arial" w:cs="Arial"/>
          <w:color w:val="002D62"/>
          <w:spacing w:val="11"/>
          <w:sz w:val="23"/>
          <w:szCs w:val="23"/>
        </w:rPr>
        <w:t xml:space="preserve">ctivity </w:t>
      </w:r>
      <w:r w:rsidR="00376752" w:rsidRPr="00770B8E">
        <w:rPr>
          <w:rFonts w:ascii="Arial" w:eastAsia="Times New Roman" w:hAnsi="Arial" w:cs="Arial"/>
          <w:color w:val="002D62"/>
          <w:spacing w:val="11"/>
          <w:sz w:val="23"/>
          <w:szCs w:val="23"/>
        </w:rPr>
        <w:t>C</w:t>
      </w:r>
      <w:r w:rsidR="00376752">
        <w:rPr>
          <w:rFonts w:ascii="Arial" w:eastAsia="Times New Roman" w:hAnsi="Arial" w:cs="Arial"/>
          <w:color w:val="002D62"/>
          <w:spacing w:val="11"/>
          <w:sz w:val="23"/>
          <w:szCs w:val="23"/>
        </w:rPr>
        <w:t>enter</w:t>
      </w:r>
      <w:r w:rsidR="00376752" w:rsidRPr="00770B8E">
        <w:rPr>
          <w:rFonts w:ascii="Arial" w:eastAsia="Times New Roman" w:hAnsi="Arial" w:cs="Arial"/>
          <w:color w:val="002D62"/>
          <w:spacing w:val="11"/>
          <w:sz w:val="23"/>
          <w:szCs w:val="23"/>
        </w:rPr>
        <w:t xml:space="preserve"> Graduate Assistant &amp; </w:t>
      </w:r>
      <w:r w:rsidR="00376752">
        <w:rPr>
          <w:rFonts w:ascii="Arial" w:eastAsia="Times New Roman" w:hAnsi="Arial" w:cs="Arial"/>
          <w:color w:val="002D62"/>
          <w:spacing w:val="11"/>
          <w:sz w:val="23"/>
          <w:szCs w:val="23"/>
        </w:rPr>
        <w:t>Facility</w:t>
      </w:r>
      <w:r w:rsidR="00376752" w:rsidRPr="00770B8E">
        <w:rPr>
          <w:rFonts w:ascii="Arial" w:eastAsia="Times New Roman" w:hAnsi="Arial" w:cs="Arial"/>
          <w:color w:val="002D62"/>
          <w:spacing w:val="11"/>
          <w:sz w:val="23"/>
          <w:szCs w:val="23"/>
        </w:rPr>
        <w:t xml:space="preserve"> Coordinator</w:t>
      </w:r>
    </w:p>
    <w:p w:rsidR="004D6E53" w:rsidRDefault="004D6E53" w:rsidP="004D6E53">
      <w:pPr>
        <w:pStyle w:val="ListParagraph"/>
        <w:spacing w:line="240" w:lineRule="auto"/>
        <w:ind w:left="1080"/>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Department:</w:t>
      </w:r>
      <w:r>
        <w:rPr>
          <w:rFonts w:ascii="Palatino Linotype" w:hAnsi="Palatino Linotype"/>
          <w:b/>
        </w:rPr>
        <w:tab/>
      </w:r>
      <w:r w:rsidR="00376752">
        <w:rPr>
          <w:rFonts w:ascii="Palatino Linotype" w:hAnsi="Palatino Linotype"/>
        </w:rPr>
        <w:t>Student Activities</w:t>
      </w:r>
    </w:p>
    <w:p w:rsidR="004D6E53" w:rsidRPr="004D6E53" w:rsidRDefault="004D6E53" w:rsidP="004D6E53">
      <w:pPr>
        <w:pStyle w:val="ListParagraph"/>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Position Requirements and Preferences:</w:t>
      </w:r>
    </w:p>
    <w:tbl>
      <w:tblPr>
        <w:tblW w:w="9285" w:type="dxa"/>
        <w:shd w:val="clear" w:color="auto" w:fill="FFFDF5"/>
        <w:tblCellMar>
          <w:top w:w="15" w:type="dxa"/>
          <w:left w:w="15" w:type="dxa"/>
          <w:bottom w:w="15" w:type="dxa"/>
          <w:right w:w="15" w:type="dxa"/>
        </w:tblCellMar>
        <w:tblLook w:val="04A0" w:firstRow="1" w:lastRow="0" w:firstColumn="1" w:lastColumn="0" w:noHBand="0" w:noVBand="1"/>
      </w:tblPr>
      <w:tblGrid>
        <w:gridCol w:w="462"/>
        <w:gridCol w:w="1389"/>
        <w:gridCol w:w="7434"/>
      </w:tblGrid>
      <w:tr w:rsidR="00376752" w:rsidRPr="00376752" w:rsidTr="00211F93">
        <w:tc>
          <w:tcPr>
            <w:tcW w:w="465" w:type="dxa"/>
            <w:shd w:val="clear" w:color="auto" w:fill="FFFDF5"/>
            <w:tcMar>
              <w:top w:w="0" w:type="dxa"/>
              <w:left w:w="0" w:type="dxa"/>
              <w:bottom w:w="0" w:type="dxa"/>
              <w:right w:w="0" w:type="dxa"/>
            </w:tcMar>
            <w:vAlign w:val="center"/>
            <w:hideMark/>
          </w:tcPr>
          <w:p w:rsidR="00376752" w:rsidRPr="00376752" w:rsidRDefault="00376752" w:rsidP="00376752">
            <w:pPr>
              <w:spacing w:after="0" w:line="240" w:lineRule="auto"/>
              <w:rPr>
                <w:rFonts w:ascii="Arial" w:eastAsia="Times New Roman" w:hAnsi="Arial" w:cs="Arial"/>
                <w:color w:val="002D62"/>
                <w:spacing w:val="11"/>
                <w:sz w:val="23"/>
                <w:szCs w:val="23"/>
              </w:rPr>
            </w:pPr>
            <w:r w:rsidRPr="00376752">
              <w:rPr>
                <w:rFonts w:ascii="Arial" w:eastAsia="Times New Roman" w:hAnsi="Arial" w:cs="Arial"/>
                <w:color w:val="002D62"/>
                <w:spacing w:val="11"/>
                <w:sz w:val="23"/>
                <w:szCs w:val="23"/>
              </w:rPr>
              <w:t>A.</w:t>
            </w:r>
          </w:p>
        </w:tc>
        <w:tc>
          <w:tcPr>
            <w:tcW w:w="1290" w:type="dxa"/>
            <w:shd w:val="clear" w:color="auto" w:fill="FFFDF5"/>
            <w:tcMar>
              <w:top w:w="0" w:type="dxa"/>
              <w:left w:w="0" w:type="dxa"/>
              <w:bottom w:w="0" w:type="dxa"/>
              <w:right w:w="0" w:type="dxa"/>
            </w:tcMar>
            <w:vAlign w:val="center"/>
            <w:hideMark/>
          </w:tcPr>
          <w:p w:rsidR="00376752" w:rsidRPr="00376752" w:rsidRDefault="00376752" w:rsidP="00376752">
            <w:pPr>
              <w:spacing w:after="0" w:line="240" w:lineRule="auto"/>
              <w:rPr>
                <w:rFonts w:ascii="Arial" w:eastAsia="Times New Roman" w:hAnsi="Arial" w:cs="Arial"/>
                <w:color w:val="002D62"/>
                <w:spacing w:val="11"/>
                <w:sz w:val="23"/>
                <w:szCs w:val="23"/>
              </w:rPr>
            </w:pPr>
            <w:r w:rsidRPr="00376752">
              <w:rPr>
                <w:rFonts w:ascii="Arial" w:eastAsia="Times New Roman" w:hAnsi="Arial" w:cs="Arial"/>
                <w:color w:val="002D62"/>
                <w:spacing w:val="11"/>
                <w:sz w:val="23"/>
                <w:szCs w:val="23"/>
              </w:rPr>
              <w:t>Education</w:t>
            </w:r>
          </w:p>
        </w:tc>
        <w:tc>
          <w:tcPr>
            <w:tcW w:w="7530" w:type="dxa"/>
            <w:shd w:val="clear" w:color="auto" w:fill="FFFDF5"/>
            <w:tcMar>
              <w:top w:w="0" w:type="dxa"/>
              <w:left w:w="0" w:type="dxa"/>
              <w:bottom w:w="0" w:type="dxa"/>
              <w:right w:w="0" w:type="dxa"/>
            </w:tcMar>
            <w:vAlign w:val="center"/>
            <w:hideMark/>
          </w:tcPr>
          <w:p w:rsidR="00376752" w:rsidRPr="00376752" w:rsidRDefault="00376752" w:rsidP="00376752">
            <w:pPr>
              <w:spacing w:after="0" w:line="240" w:lineRule="auto"/>
              <w:rPr>
                <w:rFonts w:ascii="Arial" w:eastAsia="Times New Roman" w:hAnsi="Arial" w:cs="Arial"/>
                <w:color w:val="002D62"/>
                <w:spacing w:val="11"/>
                <w:sz w:val="23"/>
                <w:szCs w:val="23"/>
              </w:rPr>
            </w:pPr>
            <w:r w:rsidRPr="00376752">
              <w:rPr>
                <w:rFonts w:ascii="Arial" w:eastAsia="Times New Roman" w:hAnsi="Arial" w:cs="Arial"/>
                <w:color w:val="002D62"/>
                <w:spacing w:val="11"/>
                <w:sz w:val="23"/>
                <w:szCs w:val="23"/>
              </w:rPr>
              <w:t>Bachelor’s Degree required. Acceptance into William Penn University’s Master of Business Leadership program is required.</w:t>
            </w:r>
          </w:p>
        </w:tc>
      </w:tr>
      <w:tr w:rsidR="00376752" w:rsidRPr="00376752" w:rsidTr="00211F93">
        <w:tc>
          <w:tcPr>
            <w:tcW w:w="465" w:type="dxa"/>
            <w:shd w:val="clear" w:color="auto" w:fill="FFFDF5"/>
            <w:tcMar>
              <w:top w:w="0" w:type="dxa"/>
              <w:left w:w="0" w:type="dxa"/>
              <w:bottom w:w="0" w:type="dxa"/>
              <w:right w:w="0" w:type="dxa"/>
            </w:tcMar>
            <w:vAlign w:val="center"/>
          </w:tcPr>
          <w:p w:rsidR="00376752" w:rsidRPr="00376752" w:rsidRDefault="00376752" w:rsidP="00376752">
            <w:pPr>
              <w:spacing w:after="0"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B.</w:t>
            </w:r>
          </w:p>
        </w:tc>
        <w:tc>
          <w:tcPr>
            <w:tcW w:w="1290" w:type="dxa"/>
            <w:shd w:val="clear" w:color="auto" w:fill="FFFDF5"/>
            <w:tcMar>
              <w:top w:w="0" w:type="dxa"/>
              <w:left w:w="0" w:type="dxa"/>
              <w:bottom w:w="0" w:type="dxa"/>
              <w:right w:w="0" w:type="dxa"/>
            </w:tcMar>
            <w:vAlign w:val="center"/>
          </w:tcPr>
          <w:p w:rsidR="00376752" w:rsidRPr="00376752" w:rsidRDefault="00376752" w:rsidP="00376752">
            <w:pPr>
              <w:spacing w:after="0"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Length of Employment</w:t>
            </w:r>
          </w:p>
        </w:tc>
        <w:tc>
          <w:tcPr>
            <w:tcW w:w="7530" w:type="dxa"/>
            <w:shd w:val="clear" w:color="auto" w:fill="FFFDF5"/>
            <w:tcMar>
              <w:top w:w="0" w:type="dxa"/>
              <w:left w:w="0" w:type="dxa"/>
              <w:bottom w:w="0" w:type="dxa"/>
              <w:right w:w="0" w:type="dxa"/>
            </w:tcMar>
            <w:vAlign w:val="center"/>
          </w:tcPr>
          <w:p w:rsidR="00376752" w:rsidRPr="00376752" w:rsidRDefault="00376752" w:rsidP="00376752">
            <w:pPr>
              <w:spacing w:after="0"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Minimum of 2 years</w:t>
            </w:r>
          </w:p>
        </w:tc>
      </w:tr>
    </w:tbl>
    <w:p w:rsidR="00376752" w:rsidRPr="00376752" w:rsidRDefault="00376752" w:rsidP="00376752">
      <w:pPr>
        <w:pStyle w:val="ListParagraph"/>
        <w:shd w:val="clear" w:color="auto" w:fill="FFFDF5"/>
        <w:spacing w:after="375" w:line="240" w:lineRule="auto"/>
        <w:ind w:left="1080"/>
        <w:rPr>
          <w:rFonts w:ascii="Arial" w:eastAsia="Times New Roman" w:hAnsi="Arial" w:cs="Arial"/>
          <w:color w:val="002D62"/>
          <w:spacing w:val="11"/>
          <w:sz w:val="23"/>
          <w:szCs w:val="23"/>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Position Summary:</w:t>
      </w:r>
    </w:p>
    <w:p w:rsidR="004D6E53" w:rsidRDefault="00376752" w:rsidP="00376752">
      <w:pPr>
        <w:pStyle w:val="ListParagraph"/>
        <w:shd w:val="clear" w:color="auto" w:fill="FFFDF5"/>
        <w:spacing w:after="375" w:line="240" w:lineRule="auto"/>
        <w:ind w:left="1080"/>
        <w:rPr>
          <w:rFonts w:ascii="Arial" w:eastAsia="Times New Roman" w:hAnsi="Arial" w:cs="Arial"/>
          <w:color w:val="002D62"/>
          <w:spacing w:val="11"/>
          <w:sz w:val="23"/>
          <w:szCs w:val="23"/>
        </w:rPr>
      </w:pPr>
      <w:r w:rsidRPr="00376752">
        <w:rPr>
          <w:rFonts w:ascii="Arial" w:eastAsia="Times New Roman" w:hAnsi="Arial" w:cs="Arial"/>
          <w:color w:val="002D62"/>
          <w:spacing w:val="11"/>
          <w:sz w:val="23"/>
          <w:szCs w:val="23"/>
        </w:rPr>
        <w:t xml:space="preserve">Reporting to the Director of PAC and Intramurals; this position is responsible for managing the day-to-day operations of the PAC for the University. This includes, but is not limited to, managing Federal Work Study and College Job positions, maintaining facilities and equipment, reporting issues to Sodexo Support Services, and recruiting &amp; retaining student staff. In addition, this position is tasked with </w:t>
      </w:r>
      <w:r>
        <w:rPr>
          <w:rFonts w:ascii="Arial" w:eastAsia="Times New Roman" w:hAnsi="Arial" w:cs="Arial"/>
          <w:color w:val="002D62"/>
          <w:spacing w:val="11"/>
          <w:sz w:val="23"/>
          <w:szCs w:val="23"/>
        </w:rPr>
        <w:t>managing an inve</w:t>
      </w:r>
      <w:r w:rsidRPr="00376752">
        <w:rPr>
          <w:rFonts w:ascii="Arial" w:eastAsia="Times New Roman" w:hAnsi="Arial" w:cs="Arial"/>
          <w:color w:val="002D62"/>
          <w:spacing w:val="11"/>
          <w:sz w:val="23"/>
          <w:szCs w:val="23"/>
        </w:rPr>
        <w:t>ntory for the recreation and events areas of the facility.</w:t>
      </w:r>
    </w:p>
    <w:p w:rsidR="00376752" w:rsidRPr="00376752" w:rsidRDefault="00376752" w:rsidP="00376752">
      <w:pPr>
        <w:pStyle w:val="ListParagraph"/>
        <w:shd w:val="clear" w:color="auto" w:fill="FFFDF5"/>
        <w:spacing w:after="375" w:line="240" w:lineRule="auto"/>
        <w:ind w:left="1080"/>
        <w:rPr>
          <w:rFonts w:ascii="Arial" w:eastAsia="Times New Roman" w:hAnsi="Arial" w:cs="Arial"/>
          <w:color w:val="002D62"/>
          <w:spacing w:val="11"/>
          <w:sz w:val="23"/>
          <w:szCs w:val="23"/>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Responsibilities:</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Provide an education with a Leadership and Technology focus, and enliven that provision through adherence to the Quaker principles of simplicity, peacemaking, integrity, community, and equality.</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Represents the College in a positive manner with prospective, current, and former students, employees, and the community.</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Represents the University to the media in a professional manner via print, social media, and website.</w:t>
      </w:r>
    </w:p>
    <w:p w:rsid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Demonstrates enthusiasm, self-motivation, and a positive attitude in meeting and dealing effectively and courteously with students, other personnel, and all members of the community.</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Demonstrates an ability to independently make decisions and exercise good judgment.</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Interprets departmental and/or college policies and procedures.</w:t>
      </w:r>
    </w:p>
    <w:p w:rsid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Work a minimum of 30 hours per week</w:t>
      </w:r>
      <w:r w:rsidRPr="00770B8E">
        <w:rPr>
          <w:rFonts w:ascii="Arial" w:eastAsia="Times New Roman" w:hAnsi="Arial" w:cs="Arial"/>
          <w:color w:val="002D62"/>
          <w:spacing w:val="11"/>
          <w:sz w:val="23"/>
          <w:szCs w:val="23"/>
        </w:rPr>
        <w:t>.</w:t>
      </w:r>
    </w:p>
    <w:p w:rsid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Will be required to work nights and weekends.</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Will be required to work an adjusted schedule for holiday breaks and summers.</w:t>
      </w:r>
    </w:p>
    <w:p w:rsid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Ability to work independently, as well as a part of a collaborative team player, while completing various assigned tasks and meeting deadlines.</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Ability to work in an environment of shifting priorities, frequent interruptions, hectic pace, high level of interaction with students, staff, faculty, and/or public.</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Excellent written communication skills including proficiency in business English, gram</w:t>
      </w:r>
      <w:r>
        <w:rPr>
          <w:rFonts w:ascii="Arial" w:eastAsia="Times New Roman" w:hAnsi="Arial" w:cs="Arial"/>
          <w:color w:val="002D62"/>
          <w:spacing w:val="11"/>
          <w:sz w:val="23"/>
          <w:szCs w:val="23"/>
        </w:rPr>
        <w:t>mar, punctuation, and spelling.</w:t>
      </w:r>
    </w:p>
    <w:p w:rsid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 xml:space="preserve">Having knowledge in </w:t>
      </w:r>
      <w:r>
        <w:rPr>
          <w:rFonts w:ascii="Arial" w:eastAsia="Times New Roman" w:hAnsi="Arial" w:cs="Arial"/>
          <w:color w:val="002D62"/>
          <w:spacing w:val="11"/>
          <w:sz w:val="23"/>
          <w:szCs w:val="23"/>
        </w:rPr>
        <w:t>Microsoft StaffHub and Excel</w:t>
      </w:r>
      <w:r w:rsidRPr="00770B8E">
        <w:rPr>
          <w:rFonts w:ascii="Arial" w:eastAsia="Times New Roman" w:hAnsi="Arial" w:cs="Arial"/>
          <w:color w:val="002D62"/>
          <w:spacing w:val="11"/>
          <w:sz w:val="23"/>
          <w:szCs w:val="23"/>
        </w:rPr>
        <w:t xml:space="preserve"> is preferred.</w:t>
      </w:r>
    </w:p>
    <w:p w:rsid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Serves as PAC facility representative in Equipment Issue office during scheduled hours.</w:t>
      </w:r>
    </w:p>
    <w:p w:rsid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Responsible for recruiting, hiring, supervising, and retaining Welcome Center employees (includes calculating and submitting weekly timecards by posted deadline).</w:t>
      </w:r>
    </w:p>
    <w:p w:rsidR="00376752" w:rsidRPr="00770B8E"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Pr>
          <w:rFonts w:ascii="Arial" w:eastAsia="Times New Roman" w:hAnsi="Arial" w:cs="Arial"/>
          <w:color w:val="002D62"/>
          <w:spacing w:val="11"/>
          <w:sz w:val="23"/>
          <w:szCs w:val="23"/>
        </w:rPr>
        <w:t>Assist with communication, coordination, scheduling, set-up/tear-down, and supervision of PAC user events.</w:t>
      </w:r>
    </w:p>
    <w:p w:rsidR="004D6E53" w:rsidRPr="00376752" w:rsidRDefault="00376752" w:rsidP="00376752">
      <w:pPr>
        <w:numPr>
          <w:ilvl w:val="0"/>
          <w:numId w:val="3"/>
        </w:numPr>
        <w:shd w:val="clear" w:color="auto" w:fill="FFFDF5"/>
        <w:spacing w:before="100" w:beforeAutospacing="1" w:after="100" w:afterAutospacing="1" w:line="240" w:lineRule="auto"/>
        <w:rPr>
          <w:rFonts w:ascii="Arial" w:eastAsia="Times New Roman" w:hAnsi="Arial" w:cs="Arial"/>
          <w:color w:val="002D62"/>
          <w:spacing w:val="11"/>
          <w:sz w:val="23"/>
          <w:szCs w:val="23"/>
        </w:rPr>
      </w:pPr>
      <w:r w:rsidRPr="00770B8E">
        <w:rPr>
          <w:rFonts w:ascii="Arial" w:eastAsia="Times New Roman" w:hAnsi="Arial" w:cs="Arial"/>
          <w:color w:val="002D62"/>
          <w:spacing w:val="11"/>
          <w:sz w:val="23"/>
          <w:szCs w:val="23"/>
        </w:rPr>
        <w:t xml:space="preserve">Other duties as assigned by the </w:t>
      </w:r>
      <w:r>
        <w:rPr>
          <w:rFonts w:ascii="Arial" w:eastAsia="Times New Roman" w:hAnsi="Arial" w:cs="Arial"/>
          <w:color w:val="002D62"/>
          <w:spacing w:val="11"/>
          <w:sz w:val="23"/>
          <w:szCs w:val="23"/>
        </w:rPr>
        <w:t>Director of PAC and Intramurals</w:t>
      </w:r>
      <w:r w:rsidRPr="00770B8E">
        <w:rPr>
          <w:rFonts w:ascii="Arial" w:eastAsia="Times New Roman" w:hAnsi="Arial" w:cs="Arial"/>
          <w:color w:val="002D62"/>
          <w:spacing w:val="11"/>
          <w:sz w:val="23"/>
          <w:szCs w:val="23"/>
        </w:rPr>
        <w:t>.</w:t>
      </w: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Reports to:</w:t>
      </w:r>
      <w:r w:rsidR="00376752">
        <w:rPr>
          <w:rFonts w:ascii="Palatino Linotype" w:hAnsi="Palatino Linotype"/>
          <w:b/>
        </w:rPr>
        <w:tab/>
      </w:r>
      <w:r w:rsidR="00376752">
        <w:rPr>
          <w:rFonts w:ascii="Palatino Linotype" w:hAnsi="Palatino Linotype"/>
        </w:rPr>
        <w:t>Director of PAC</w:t>
      </w:r>
    </w:p>
    <w:p w:rsidR="004D6E53" w:rsidRDefault="004D6E53" w:rsidP="004D6E53">
      <w:pPr>
        <w:pStyle w:val="ListParagraph"/>
        <w:spacing w:line="240" w:lineRule="auto"/>
        <w:ind w:left="1080"/>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Start Date:</w:t>
      </w:r>
      <w:r w:rsidR="00376752">
        <w:rPr>
          <w:rFonts w:ascii="Palatino Linotype" w:hAnsi="Palatino Linotype"/>
          <w:b/>
        </w:rPr>
        <w:tab/>
      </w:r>
      <w:r w:rsidR="00376752">
        <w:rPr>
          <w:rFonts w:ascii="Palatino Linotype" w:hAnsi="Palatino Linotype"/>
          <w:b/>
        </w:rPr>
        <w:tab/>
      </w:r>
      <w:r w:rsidR="00470E4A">
        <w:rPr>
          <w:rFonts w:ascii="Palatino Linotype" w:hAnsi="Palatino Linotype"/>
        </w:rPr>
        <w:t xml:space="preserve">Immediately </w:t>
      </w:r>
    </w:p>
    <w:p w:rsidR="004D6E53" w:rsidRPr="004D6E53" w:rsidRDefault="004D6E53" w:rsidP="004D6E53">
      <w:pPr>
        <w:pStyle w:val="ListParagraph"/>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Replacement or New Position:</w:t>
      </w:r>
      <w:r w:rsidR="00376752">
        <w:rPr>
          <w:rFonts w:ascii="Palatino Linotype" w:hAnsi="Palatino Linotype"/>
          <w:b/>
        </w:rPr>
        <w:tab/>
      </w:r>
      <w:r w:rsidR="00376752">
        <w:rPr>
          <w:rFonts w:ascii="Palatino Linotype" w:hAnsi="Palatino Linotype"/>
        </w:rPr>
        <w:t xml:space="preserve">Replacement </w:t>
      </w:r>
      <w:r w:rsidR="00376752">
        <w:rPr>
          <w:rFonts w:ascii="Palatino Linotype" w:hAnsi="Palatino Linotype"/>
        </w:rPr>
        <w:tab/>
      </w:r>
    </w:p>
    <w:p w:rsidR="004D6E53" w:rsidRPr="004D6E53" w:rsidRDefault="004D6E53" w:rsidP="004D6E53">
      <w:pPr>
        <w:pStyle w:val="ListParagraph"/>
        <w:rPr>
          <w:rFonts w:ascii="Palatino Linotype" w:hAnsi="Palatino Linotype"/>
          <w:b/>
        </w:rPr>
      </w:pPr>
    </w:p>
    <w:p w:rsidR="004D6E53" w:rsidRPr="00376752" w:rsidRDefault="004D6E53" w:rsidP="00376752">
      <w:pPr>
        <w:pStyle w:val="ListParagraph"/>
        <w:numPr>
          <w:ilvl w:val="0"/>
          <w:numId w:val="1"/>
        </w:numPr>
        <w:spacing w:line="240" w:lineRule="auto"/>
        <w:rPr>
          <w:rFonts w:ascii="Palatino Linotype" w:hAnsi="Palatino Linotype"/>
          <w:b/>
        </w:rPr>
      </w:pPr>
      <w:r>
        <w:rPr>
          <w:rFonts w:ascii="Palatino Linotype" w:hAnsi="Palatino Linotype"/>
          <w:b/>
        </w:rPr>
        <w:t>Full-Time/Part-time/Temp:</w:t>
      </w:r>
      <w:r w:rsidR="00376752">
        <w:rPr>
          <w:rFonts w:ascii="Palatino Linotype" w:hAnsi="Palatino Linotype"/>
          <w:b/>
        </w:rPr>
        <w:tab/>
      </w:r>
      <w:r w:rsidR="00376752">
        <w:rPr>
          <w:rFonts w:ascii="Palatino Linotype" w:hAnsi="Palatino Linotype"/>
        </w:rPr>
        <w:t>Graduate Assistant</w:t>
      </w:r>
    </w:p>
    <w:p w:rsidR="00376752" w:rsidRPr="00376752" w:rsidRDefault="00376752" w:rsidP="00376752">
      <w:pPr>
        <w:pStyle w:val="ListParagraph"/>
        <w:rPr>
          <w:rFonts w:ascii="Palatino Linotype" w:hAnsi="Palatino Linotype"/>
          <w:b/>
        </w:rPr>
      </w:pPr>
    </w:p>
    <w:p w:rsidR="004D6E53" w:rsidRDefault="004D6E53" w:rsidP="004D6E53">
      <w:pPr>
        <w:pStyle w:val="ListParagraph"/>
        <w:numPr>
          <w:ilvl w:val="0"/>
          <w:numId w:val="1"/>
        </w:numPr>
        <w:spacing w:line="240" w:lineRule="auto"/>
        <w:rPr>
          <w:rFonts w:ascii="Palatino Linotype" w:hAnsi="Palatino Linotype"/>
          <w:b/>
        </w:rPr>
      </w:pPr>
      <w:r>
        <w:rPr>
          <w:rFonts w:ascii="Palatino Linotype" w:hAnsi="Palatino Linotype"/>
          <w:b/>
        </w:rPr>
        <w:t>Closing Date of Posting:</w:t>
      </w:r>
      <w:r w:rsidR="00376752">
        <w:rPr>
          <w:rFonts w:ascii="Palatino Linotype" w:hAnsi="Palatino Linotype"/>
          <w:b/>
        </w:rPr>
        <w:tab/>
      </w:r>
      <w:r w:rsidR="00376752">
        <w:rPr>
          <w:rFonts w:ascii="Palatino Linotype" w:hAnsi="Palatino Linotype"/>
          <w:b/>
        </w:rPr>
        <w:tab/>
      </w:r>
      <w:r w:rsidR="00376752">
        <w:rPr>
          <w:rFonts w:ascii="Palatino Linotype" w:hAnsi="Palatino Linotype"/>
        </w:rPr>
        <w:t>Until Filled</w:t>
      </w:r>
    </w:p>
    <w:p w:rsidR="004D6E53" w:rsidRPr="004D6E53" w:rsidRDefault="004D6E53" w:rsidP="004D6E53">
      <w:pPr>
        <w:pStyle w:val="ListParagraph"/>
        <w:rPr>
          <w:rFonts w:ascii="Palatino Linotype" w:hAnsi="Palatino Linotype"/>
          <w:b/>
        </w:rPr>
      </w:pPr>
    </w:p>
    <w:p w:rsidR="004D6E53" w:rsidRPr="004D6E53" w:rsidRDefault="00CC1158" w:rsidP="004D6E53">
      <w:pPr>
        <w:pStyle w:val="ListParagraph"/>
        <w:numPr>
          <w:ilvl w:val="0"/>
          <w:numId w:val="1"/>
        </w:numPr>
        <w:spacing w:line="240" w:lineRule="auto"/>
        <w:rPr>
          <w:rFonts w:ascii="Palatino Linotype" w:hAnsi="Palatino Linotype"/>
          <w:b/>
        </w:rPr>
      </w:pPr>
      <w:r>
        <w:rPr>
          <w:rFonts w:ascii="Palatino Linotype" w:hAnsi="Palatino Linotype"/>
          <w:b/>
        </w:rPr>
        <w:t>Application Sent to:</w:t>
      </w:r>
      <w:r>
        <w:rPr>
          <w:rFonts w:ascii="Palatino Linotype" w:hAnsi="Palatino Linotype"/>
          <w:b/>
        </w:rPr>
        <w:tab/>
      </w:r>
      <w:r w:rsidR="004D6E53">
        <w:rPr>
          <w:rFonts w:ascii="Palatino Linotype" w:hAnsi="Palatino Linotype"/>
        </w:rPr>
        <w:t>Send letter of application and resume</w:t>
      </w:r>
      <w:r>
        <w:rPr>
          <w:rFonts w:ascii="Palatino Linotype" w:hAnsi="Palatino Linotype"/>
        </w:rPr>
        <w:t>:</w:t>
      </w:r>
    </w:p>
    <w:p w:rsidR="004D6E53" w:rsidRDefault="004D6E53" w:rsidP="004D6E53">
      <w:pPr>
        <w:pStyle w:val="ListParagraph"/>
        <w:ind w:left="4320"/>
        <w:rPr>
          <w:rFonts w:ascii="Palatino Linotype" w:hAnsi="Palatino Linotype"/>
        </w:rPr>
      </w:pPr>
      <w:r>
        <w:rPr>
          <w:rFonts w:ascii="Palatino Linotype" w:hAnsi="Palatino Linotype"/>
        </w:rPr>
        <w:t>Human Resources</w:t>
      </w:r>
    </w:p>
    <w:p w:rsidR="004D6E53" w:rsidRDefault="004D6E53" w:rsidP="004D6E53">
      <w:pPr>
        <w:pStyle w:val="ListParagraph"/>
        <w:ind w:left="4320"/>
        <w:rPr>
          <w:rFonts w:ascii="Palatino Linotype" w:hAnsi="Palatino Linotype"/>
        </w:rPr>
      </w:pPr>
      <w:r>
        <w:rPr>
          <w:rFonts w:ascii="Palatino Linotype" w:hAnsi="Palatino Linotype"/>
        </w:rPr>
        <w:t>William Penn University</w:t>
      </w:r>
    </w:p>
    <w:p w:rsidR="004D6E53" w:rsidRDefault="004D6E53" w:rsidP="004D6E53">
      <w:pPr>
        <w:pStyle w:val="ListParagraph"/>
        <w:ind w:left="4320"/>
        <w:rPr>
          <w:rFonts w:ascii="Palatino Linotype" w:hAnsi="Palatino Linotype"/>
        </w:rPr>
      </w:pPr>
      <w:r>
        <w:rPr>
          <w:rFonts w:ascii="Palatino Linotype" w:hAnsi="Palatino Linotype"/>
        </w:rPr>
        <w:t>201 Trueblood Avenue</w:t>
      </w:r>
    </w:p>
    <w:p w:rsidR="004D6E53" w:rsidRDefault="004D6E53" w:rsidP="004D6E53">
      <w:pPr>
        <w:pStyle w:val="ListParagraph"/>
        <w:ind w:left="4320"/>
        <w:rPr>
          <w:rFonts w:ascii="Palatino Linotype" w:hAnsi="Palatino Linotype"/>
        </w:rPr>
      </w:pPr>
      <w:r>
        <w:rPr>
          <w:rFonts w:ascii="Palatino Linotype" w:hAnsi="Palatino Linotype"/>
        </w:rPr>
        <w:t>Oskaloosa, Iowa 52577</w:t>
      </w:r>
    </w:p>
    <w:p w:rsidR="004D6E53" w:rsidRDefault="004D6E53" w:rsidP="004D6E53">
      <w:pPr>
        <w:pStyle w:val="ListParagraph"/>
        <w:ind w:left="4320"/>
        <w:rPr>
          <w:rFonts w:ascii="Palatino Linotype" w:hAnsi="Palatino Linotype"/>
        </w:rPr>
      </w:pPr>
      <w:r>
        <w:rPr>
          <w:rFonts w:ascii="Palatino Linotype" w:hAnsi="Palatino Linotype"/>
        </w:rPr>
        <w:t xml:space="preserve">Email: </w:t>
      </w:r>
      <w:hyperlink r:id="rId6" w:history="1">
        <w:r w:rsidRPr="00D67935">
          <w:rPr>
            <w:rStyle w:val="Hyperlink"/>
            <w:rFonts w:ascii="Palatino Linotype" w:hAnsi="Palatino Linotype"/>
          </w:rPr>
          <w:t>gambella@wmpenn.edu</w:t>
        </w:r>
      </w:hyperlink>
    </w:p>
    <w:p w:rsidR="00CC1158" w:rsidRDefault="00CC1158" w:rsidP="00CC1158">
      <w:pPr>
        <w:rPr>
          <w:rFonts w:ascii="Palatino Linotype" w:hAnsi="Palatino Linotype"/>
          <w:b/>
        </w:rPr>
      </w:pPr>
    </w:p>
    <w:p w:rsidR="00CC1158" w:rsidRPr="00CC1158" w:rsidRDefault="00CC1158" w:rsidP="00CC1158">
      <w:pPr>
        <w:pStyle w:val="ListParagraph"/>
        <w:numPr>
          <w:ilvl w:val="0"/>
          <w:numId w:val="1"/>
        </w:numPr>
        <w:rPr>
          <w:rFonts w:ascii="Palatino Linotype" w:hAnsi="Palatino Linotype"/>
          <w:b/>
        </w:rPr>
      </w:pPr>
      <w:r>
        <w:rPr>
          <w:rFonts w:ascii="Palatino Linotype" w:hAnsi="Palatino Linotype"/>
          <w:b/>
        </w:rPr>
        <w:t>Terms of Employment:</w:t>
      </w:r>
      <w:r>
        <w:rPr>
          <w:rFonts w:ascii="Palatino Linotype" w:hAnsi="Palatino Linotype"/>
          <w:b/>
        </w:rPr>
        <w:tab/>
      </w:r>
      <w:r>
        <w:rPr>
          <w:rFonts w:ascii="Palatino Linotype" w:hAnsi="Palatino Linotype"/>
        </w:rPr>
        <w:t>At will employee</w:t>
      </w:r>
    </w:p>
    <w:p w:rsidR="00CC1158" w:rsidRPr="00CC1158" w:rsidRDefault="00CC1158" w:rsidP="00CC1158">
      <w:pPr>
        <w:ind w:left="360"/>
        <w:jc w:val="center"/>
        <w:rPr>
          <w:rFonts w:ascii="Palatino Linotype" w:hAnsi="Palatino Linotype"/>
          <w:b/>
        </w:rPr>
      </w:pPr>
      <w:r>
        <w:rPr>
          <w:rFonts w:ascii="Palatino Linotype" w:hAnsi="Palatino Linotype"/>
          <w:b/>
        </w:rPr>
        <w:t>William Penn University is an equal opportunity provider and employer.</w:t>
      </w:r>
    </w:p>
    <w:p w:rsidR="004D6E53" w:rsidRDefault="004D6E53" w:rsidP="004D6E53">
      <w:pPr>
        <w:spacing w:line="240" w:lineRule="auto"/>
        <w:rPr>
          <w:rFonts w:ascii="Palatino Linotype" w:hAnsi="Palatino Linotype"/>
          <w:b/>
        </w:rPr>
      </w:pPr>
    </w:p>
    <w:p w:rsidR="004D6E53" w:rsidRPr="004D6E53" w:rsidRDefault="004D6E53" w:rsidP="004D6E53">
      <w:pPr>
        <w:spacing w:line="240" w:lineRule="auto"/>
        <w:rPr>
          <w:rFonts w:ascii="Palatino Linotype" w:hAnsi="Palatino Linotype"/>
          <w:b/>
        </w:rPr>
      </w:pPr>
    </w:p>
    <w:sectPr w:rsidR="004D6E53" w:rsidRPr="004D6E53" w:rsidSect="00CC115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275B"/>
    <w:multiLevelType w:val="multilevel"/>
    <w:tmpl w:val="F468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07A61"/>
    <w:multiLevelType w:val="hybridMultilevel"/>
    <w:tmpl w:val="6E505D0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C6508"/>
    <w:multiLevelType w:val="hybridMultilevel"/>
    <w:tmpl w:val="6C14C0C6"/>
    <w:lvl w:ilvl="0" w:tplc="9FA89E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53"/>
    <w:rsid w:val="00376752"/>
    <w:rsid w:val="00470E4A"/>
    <w:rsid w:val="004D6E53"/>
    <w:rsid w:val="0054612F"/>
    <w:rsid w:val="006700B9"/>
    <w:rsid w:val="006A0C99"/>
    <w:rsid w:val="007406C6"/>
    <w:rsid w:val="00CC1158"/>
    <w:rsid w:val="00CD4384"/>
    <w:rsid w:val="00D57D72"/>
    <w:rsid w:val="00E9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B977"/>
  <w15:chartTrackingRefBased/>
  <w15:docId w15:val="{383C73F4-8F8C-41A9-85B7-4FF1C7BC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E53"/>
    <w:pPr>
      <w:ind w:left="720"/>
      <w:contextualSpacing/>
    </w:pPr>
  </w:style>
  <w:style w:type="character" w:styleId="Hyperlink">
    <w:name w:val="Hyperlink"/>
    <w:basedOn w:val="DefaultParagraphFont"/>
    <w:uiPriority w:val="99"/>
    <w:unhideWhenUsed/>
    <w:rsid w:val="004D6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mbella@wmpen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1B47-A7AD-4422-8FFB-43CD58D1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Gambell, Angella M</dc:creator>
  <cp:keywords/>
  <dc:description/>
  <cp:lastModifiedBy>Gambell, Angella M</cp:lastModifiedBy>
  <cp:revision>2</cp:revision>
  <dcterms:created xsi:type="dcterms:W3CDTF">2020-01-17T20:04:00Z</dcterms:created>
  <dcterms:modified xsi:type="dcterms:W3CDTF">2020-01-17T20:04:00Z</dcterms:modified>
</cp:coreProperties>
</file>